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31" w:rsidRPr="00A2050D" w:rsidRDefault="00402F31" w:rsidP="00C40E3A">
      <w:pPr>
        <w:pStyle w:val="default"/>
        <w:rPr>
          <w:rFonts w:ascii="Arial" w:hAnsi="Arial" w:cs="Arial"/>
          <w:b/>
          <w:sz w:val="22"/>
        </w:rPr>
      </w:pPr>
      <w:r w:rsidRPr="00A2050D">
        <w:rPr>
          <w:rFonts w:ascii="Arial" w:hAnsi="Arial" w:cs="Arial"/>
          <w:b/>
          <w:sz w:val="22"/>
        </w:rPr>
        <w:t>Pa</w:t>
      </w:r>
      <w:r w:rsidR="00CE2EAA" w:rsidRPr="00A2050D">
        <w:rPr>
          <w:rFonts w:ascii="Arial" w:hAnsi="Arial" w:cs="Arial"/>
          <w:b/>
          <w:sz w:val="22"/>
        </w:rPr>
        <w:t>id Adm</w:t>
      </w:r>
      <w:r w:rsidR="00A2050D" w:rsidRPr="00A2050D">
        <w:rPr>
          <w:rFonts w:ascii="Arial" w:hAnsi="Arial" w:cs="Arial"/>
          <w:b/>
          <w:sz w:val="22"/>
        </w:rPr>
        <w:t>inistrative Leave Policy Sample</w:t>
      </w:r>
      <w:r w:rsidR="00CE2EAA" w:rsidRPr="00A2050D">
        <w:rPr>
          <w:rFonts w:ascii="Arial" w:hAnsi="Arial" w:cs="Arial"/>
          <w:b/>
          <w:sz w:val="22"/>
        </w:rPr>
        <w:t xml:space="preserve"> (This can be back dated to when the epidemic began or emerged in the community)</w:t>
      </w:r>
    </w:p>
    <w:p w:rsidR="00402F31" w:rsidRPr="00A2050D" w:rsidRDefault="00402F31" w:rsidP="00C40E3A">
      <w:pPr>
        <w:pStyle w:val="default"/>
        <w:rPr>
          <w:rFonts w:ascii="Arial" w:hAnsi="Arial" w:cs="Arial"/>
          <w:sz w:val="22"/>
        </w:rPr>
      </w:pPr>
    </w:p>
    <w:p w:rsidR="00402F31" w:rsidRPr="00A2050D" w:rsidRDefault="00402F31" w:rsidP="00C40E3A">
      <w:pPr>
        <w:pStyle w:val="default"/>
        <w:rPr>
          <w:rFonts w:ascii="Arial" w:hAnsi="Arial" w:cs="Arial"/>
          <w:sz w:val="22"/>
        </w:rPr>
      </w:pPr>
    </w:p>
    <w:p w:rsidR="00C40E3A" w:rsidRPr="00A2050D" w:rsidRDefault="00C40E3A" w:rsidP="00C40E3A">
      <w:pPr>
        <w:pStyle w:val="default"/>
        <w:rPr>
          <w:rFonts w:ascii="Arial" w:hAnsi="Arial" w:cs="Arial"/>
          <w:sz w:val="22"/>
        </w:rPr>
      </w:pPr>
      <w:r w:rsidRPr="00A2050D">
        <w:rPr>
          <w:rFonts w:ascii="Arial" w:hAnsi="Arial" w:cs="Arial"/>
          <w:sz w:val="22"/>
        </w:rPr>
        <w:t xml:space="preserve">Paid Administrative Leave - In certain extraordinary circumstances i.e. natural disaster, pandemic health crisis, fire, flood or other environmental situation making it impossible to remain on site, it may be necessary for our office and/or facilities to close and some or all staff may be required to remain home. It may also create personal conditions that require staff to take time away from work that they would normally not need to take.  </w:t>
      </w:r>
    </w:p>
    <w:p w:rsidR="00C40E3A" w:rsidRPr="00A2050D" w:rsidRDefault="00C40E3A" w:rsidP="00C40E3A">
      <w:pPr>
        <w:pStyle w:val="default"/>
        <w:rPr>
          <w:rFonts w:ascii="Arial" w:hAnsi="Arial" w:cs="Arial"/>
          <w:sz w:val="22"/>
        </w:rPr>
      </w:pPr>
    </w:p>
    <w:p w:rsidR="00402F31" w:rsidRPr="00A2050D" w:rsidRDefault="00C40E3A" w:rsidP="00C40E3A">
      <w:pPr>
        <w:pStyle w:val="default"/>
        <w:rPr>
          <w:rFonts w:ascii="Arial" w:hAnsi="Arial" w:cs="Arial"/>
          <w:sz w:val="22"/>
        </w:rPr>
      </w:pPr>
      <w:r w:rsidRPr="00A2050D">
        <w:rPr>
          <w:rFonts w:ascii="Arial" w:hAnsi="Arial" w:cs="Arial"/>
          <w:sz w:val="22"/>
        </w:rPr>
        <w:t>In these circumstances, The Executive Director, or their designee, may decide to pay all staff their usual salary and continue any applicable benefits</w:t>
      </w:r>
      <w:r w:rsidR="00402F31" w:rsidRPr="00A2050D">
        <w:rPr>
          <w:rFonts w:ascii="Arial" w:hAnsi="Arial" w:cs="Arial"/>
          <w:sz w:val="22"/>
        </w:rPr>
        <w:t>, including leave accrual,</w:t>
      </w:r>
      <w:r w:rsidRPr="00A2050D">
        <w:rPr>
          <w:rFonts w:ascii="Arial" w:hAnsi="Arial" w:cs="Arial"/>
          <w:sz w:val="22"/>
        </w:rPr>
        <w:t xml:space="preserve"> throug</w:t>
      </w:r>
      <w:r w:rsidR="00402F31" w:rsidRPr="00A2050D">
        <w:rPr>
          <w:rFonts w:ascii="Arial" w:hAnsi="Arial" w:cs="Arial"/>
          <w:sz w:val="22"/>
        </w:rPr>
        <w:t>h the duration of the extraordinary circumstance</w:t>
      </w:r>
      <w:r w:rsidR="005E0854">
        <w:rPr>
          <w:rFonts w:ascii="Arial" w:hAnsi="Arial" w:cs="Arial"/>
          <w:sz w:val="22"/>
        </w:rPr>
        <w:t>.</w:t>
      </w:r>
      <w:r w:rsidR="00D536AB">
        <w:rPr>
          <w:rFonts w:ascii="Arial" w:hAnsi="Arial" w:cs="Arial"/>
          <w:sz w:val="22"/>
        </w:rPr>
        <w:t xml:space="preserve"> </w:t>
      </w:r>
      <w:r w:rsidRPr="00A2050D">
        <w:rPr>
          <w:rFonts w:ascii="Arial" w:hAnsi="Arial" w:cs="Arial"/>
          <w:sz w:val="22"/>
        </w:rPr>
        <w:t xml:space="preserve">This </w:t>
      </w:r>
      <w:proofErr w:type="gramStart"/>
      <w:r w:rsidRPr="00A2050D">
        <w:rPr>
          <w:rFonts w:ascii="Arial" w:hAnsi="Arial" w:cs="Arial"/>
          <w:sz w:val="22"/>
        </w:rPr>
        <w:t>will be clearly communicated</w:t>
      </w:r>
      <w:proofErr w:type="gramEnd"/>
      <w:r w:rsidRPr="00A2050D">
        <w:rPr>
          <w:rFonts w:ascii="Arial" w:hAnsi="Arial" w:cs="Arial"/>
          <w:sz w:val="22"/>
        </w:rPr>
        <w:t xml:space="preserve"> in writing to staff from the Executive Director or the</w:t>
      </w:r>
      <w:r w:rsidR="005E0854">
        <w:rPr>
          <w:rFonts w:ascii="Arial" w:hAnsi="Arial" w:cs="Arial"/>
          <w:sz w:val="22"/>
        </w:rPr>
        <w:t>ir designee. </w:t>
      </w:r>
      <w:r w:rsidRPr="00A2050D">
        <w:rPr>
          <w:rFonts w:ascii="Arial" w:hAnsi="Arial" w:cs="Arial"/>
          <w:sz w:val="22"/>
        </w:rPr>
        <w:t xml:space="preserve">Paid Administrative Leave days </w:t>
      </w:r>
      <w:proofErr w:type="gramStart"/>
      <w:r w:rsidRPr="00A2050D">
        <w:rPr>
          <w:rFonts w:ascii="Arial" w:hAnsi="Arial" w:cs="Arial"/>
          <w:sz w:val="22"/>
        </w:rPr>
        <w:t>are not accrued</w:t>
      </w:r>
      <w:proofErr w:type="gramEnd"/>
      <w:r w:rsidRPr="00A2050D">
        <w:rPr>
          <w:rFonts w:ascii="Arial" w:hAnsi="Arial" w:cs="Arial"/>
          <w:sz w:val="22"/>
        </w:rPr>
        <w:t xml:space="preserve">, will not be paid out upon termination of employment, and will not be carried over from year to year.  If the office is closed during an employee’s </w:t>
      </w:r>
      <w:proofErr w:type="gramStart"/>
      <w:r w:rsidRPr="00A2050D">
        <w:rPr>
          <w:rFonts w:ascii="Arial" w:hAnsi="Arial" w:cs="Arial"/>
          <w:sz w:val="22"/>
        </w:rPr>
        <w:t>previously-scheduled</w:t>
      </w:r>
      <w:proofErr w:type="gramEnd"/>
      <w:r w:rsidRPr="00A2050D">
        <w:rPr>
          <w:rFonts w:ascii="Arial" w:hAnsi="Arial" w:cs="Arial"/>
          <w:sz w:val="22"/>
        </w:rPr>
        <w:t xml:space="preserve"> PTO or holiday leave, the time off must still be charged to the employee’s leave balance.  </w:t>
      </w:r>
    </w:p>
    <w:p w:rsidR="00402F31" w:rsidRPr="00A2050D" w:rsidRDefault="00402F31" w:rsidP="00C40E3A">
      <w:pPr>
        <w:pStyle w:val="default"/>
        <w:rPr>
          <w:rFonts w:ascii="Arial" w:hAnsi="Arial" w:cs="Arial"/>
          <w:sz w:val="22"/>
        </w:rPr>
      </w:pPr>
    </w:p>
    <w:p w:rsidR="00C40E3A" w:rsidRPr="00A2050D" w:rsidRDefault="00C40E3A" w:rsidP="00C40E3A">
      <w:pPr>
        <w:pStyle w:val="default"/>
        <w:rPr>
          <w:rFonts w:ascii="Arial" w:hAnsi="Arial" w:cs="Arial"/>
          <w:sz w:val="22"/>
        </w:rPr>
      </w:pPr>
      <w:r w:rsidRPr="00A2050D">
        <w:rPr>
          <w:rFonts w:ascii="Arial" w:hAnsi="Arial" w:cs="Arial"/>
          <w:sz w:val="22"/>
        </w:rPr>
        <w:t xml:space="preserve">The use of Paid Administrative Leave is solely the decision of the Executive Director and </w:t>
      </w:r>
      <w:proofErr w:type="gramStart"/>
      <w:r w:rsidRPr="00A2050D">
        <w:rPr>
          <w:rFonts w:ascii="Arial" w:hAnsi="Arial" w:cs="Arial"/>
          <w:sz w:val="22"/>
        </w:rPr>
        <w:t>will be used</w:t>
      </w:r>
      <w:proofErr w:type="gramEnd"/>
      <w:r w:rsidRPr="00A2050D">
        <w:rPr>
          <w:rFonts w:ascii="Arial" w:hAnsi="Arial" w:cs="Arial"/>
          <w:sz w:val="22"/>
        </w:rPr>
        <w:t xml:space="preserve"> only under the provisions that the organizat</w:t>
      </w:r>
      <w:r w:rsidR="00402F31" w:rsidRPr="00A2050D">
        <w:rPr>
          <w:rFonts w:ascii="Arial" w:hAnsi="Arial" w:cs="Arial"/>
          <w:sz w:val="22"/>
        </w:rPr>
        <w:t>ion cannot offer work on-site,</w:t>
      </w:r>
      <w:r w:rsidRPr="00A2050D">
        <w:rPr>
          <w:rFonts w:ascii="Arial" w:hAnsi="Arial" w:cs="Arial"/>
          <w:sz w:val="22"/>
        </w:rPr>
        <w:t xml:space="preserve"> through its telecommuting policy</w:t>
      </w:r>
      <w:r w:rsidR="00402F31" w:rsidRPr="00A2050D">
        <w:rPr>
          <w:rFonts w:ascii="Arial" w:hAnsi="Arial" w:cs="Arial"/>
          <w:sz w:val="22"/>
        </w:rPr>
        <w:t xml:space="preserve"> or employees are otherwise prevented from working their full hours due to personal impact of the circumstances</w:t>
      </w:r>
      <w:r w:rsidRPr="00A2050D">
        <w:rPr>
          <w:rFonts w:ascii="Arial" w:hAnsi="Arial" w:cs="Arial"/>
          <w:sz w:val="22"/>
        </w:rPr>
        <w:t xml:space="preserve">.  </w:t>
      </w:r>
    </w:p>
    <w:p w:rsidR="00BC5EF1" w:rsidRPr="00A2050D" w:rsidRDefault="00BC5EF1">
      <w:pPr>
        <w:rPr>
          <w:rFonts w:ascii="Arial" w:hAnsi="Arial" w:cs="Arial"/>
        </w:rPr>
      </w:pPr>
    </w:p>
    <w:p w:rsidR="00402F31" w:rsidRPr="00A2050D" w:rsidRDefault="00402F31">
      <w:pPr>
        <w:rPr>
          <w:rFonts w:ascii="Arial" w:hAnsi="Arial" w:cs="Arial"/>
        </w:rPr>
      </w:pPr>
      <w:proofErr w:type="gramStart"/>
      <w:r w:rsidRPr="00A2050D">
        <w:rPr>
          <w:rFonts w:ascii="Arial" w:hAnsi="Arial" w:cs="Arial"/>
        </w:rPr>
        <w:t>And</w:t>
      </w:r>
      <w:proofErr w:type="gramEnd"/>
      <w:r w:rsidRPr="00A2050D">
        <w:rPr>
          <w:rFonts w:ascii="Arial" w:hAnsi="Arial" w:cs="Arial"/>
        </w:rPr>
        <w:t xml:space="preserve"> this is the clear communication that we would use to communicate with the staff:</w:t>
      </w:r>
    </w:p>
    <w:p w:rsidR="00402F31" w:rsidRPr="00A2050D" w:rsidRDefault="00402F31" w:rsidP="00402F31">
      <w:pPr>
        <w:spacing w:line="285" w:lineRule="atLeast"/>
        <w:rPr>
          <w:rFonts w:ascii="Arial" w:eastAsia="Times New Roman" w:hAnsi="Arial" w:cs="Arial"/>
          <w:color w:val="222222"/>
          <w:sz w:val="21"/>
          <w:szCs w:val="21"/>
        </w:rPr>
      </w:pPr>
      <w:proofErr w:type="gramStart"/>
      <w:r w:rsidRPr="00A2050D">
        <w:rPr>
          <w:rFonts w:ascii="Arial" w:eastAsia="Times New Roman" w:hAnsi="Arial" w:cs="Arial"/>
          <w:i/>
          <w:iCs/>
          <w:color w:val="222222"/>
          <w:sz w:val="21"/>
          <w:szCs w:val="21"/>
        </w:rPr>
        <w:t>Due to the extraordinary nature of this situation, we are s</w:t>
      </w:r>
      <w:bookmarkStart w:id="0" w:name="_GoBack"/>
      <w:bookmarkEnd w:id="0"/>
      <w:r w:rsidRPr="00A2050D">
        <w:rPr>
          <w:rFonts w:ascii="Arial" w:eastAsia="Times New Roman" w:hAnsi="Arial" w:cs="Arial"/>
          <w:i/>
          <w:iCs/>
          <w:color w:val="222222"/>
          <w:sz w:val="21"/>
          <w:szCs w:val="21"/>
        </w:rPr>
        <w:t xml:space="preserve">uspending our normal leave policy </w:t>
      </w:r>
      <w:r w:rsidR="00445A4B" w:rsidRPr="00A2050D">
        <w:rPr>
          <w:rFonts w:ascii="Arial" w:eastAsia="Times New Roman" w:hAnsi="Arial" w:cs="Arial"/>
          <w:i/>
          <w:iCs/>
          <w:color w:val="222222"/>
          <w:sz w:val="21"/>
          <w:szCs w:val="21"/>
        </w:rPr>
        <w:t xml:space="preserve">and implementing the use of Administrative Leave </w:t>
      </w:r>
      <w:r w:rsidRPr="00A2050D">
        <w:rPr>
          <w:rFonts w:ascii="Arial" w:eastAsia="Times New Roman" w:hAnsi="Arial" w:cs="Arial"/>
          <w:i/>
          <w:iCs/>
          <w:color w:val="222222"/>
          <w:sz w:val="21"/>
          <w:szCs w:val="21"/>
        </w:rPr>
        <w:t xml:space="preserve">as follows:  No one will have to draw down their </w:t>
      </w:r>
      <w:r w:rsidR="00445A4B" w:rsidRPr="00A2050D">
        <w:rPr>
          <w:rFonts w:ascii="Arial" w:eastAsia="Times New Roman" w:hAnsi="Arial" w:cs="Arial"/>
          <w:i/>
          <w:iCs/>
          <w:color w:val="222222"/>
          <w:sz w:val="21"/>
          <w:szCs w:val="21"/>
        </w:rPr>
        <w:t xml:space="preserve">paid sick </w:t>
      </w:r>
      <w:r w:rsidRPr="00A2050D">
        <w:rPr>
          <w:rFonts w:ascii="Arial" w:eastAsia="Times New Roman" w:hAnsi="Arial" w:cs="Arial"/>
          <w:i/>
          <w:iCs/>
          <w:color w:val="222222"/>
          <w:sz w:val="21"/>
          <w:szCs w:val="21"/>
        </w:rPr>
        <w:t xml:space="preserve">leave </w:t>
      </w:r>
      <w:r w:rsidR="00445A4B" w:rsidRPr="00A2050D">
        <w:rPr>
          <w:rFonts w:ascii="Arial" w:eastAsia="Times New Roman" w:hAnsi="Arial" w:cs="Arial"/>
          <w:i/>
          <w:iCs/>
          <w:color w:val="222222"/>
          <w:sz w:val="21"/>
          <w:szCs w:val="21"/>
        </w:rPr>
        <w:t xml:space="preserve">or vacation </w:t>
      </w:r>
      <w:r w:rsidRPr="00A2050D">
        <w:rPr>
          <w:rFonts w:ascii="Arial" w:eastAsia="Times New Roman" w:hAnsi="Arial" w:cs="Arial"/>
          <w:i/>
          <w:iCs/>
          <w:color w:val="222222"/>
          <w:sz w:val="21"/>
          <w:szCs w:val="21"/>
        </w:rPr>
        <w:t>balances when they take leave for reason</w:t>
      </w:r>
      <w:r w:rsidR="00445A4B" w:rsidRPr="00A2050D">
        <w:rPr>
          <w:rFonts w:ascii="Arial" w:eastAsia="Times New Roman" w:hAnsi="Arial" w:cs="Arial"/>
          <w:i/>
          <w:iCs/>
          <w:color w:val="222222"/>
          <w:sz w:val="21"/>
          <w:szCs w:val="21"/>
        </w:rPr>
        <w:t xml:space="preserve">s tied to the COVID-19 pandemic, which is any </w:t>
      </w:r>
      <w:r w:rsidR="00885792" w:rsidRPr="00A2050D">
        <w:rPr>
          <w:rFonts w:ascii="Arial" w:eastAsia="Times New Roman" w:hAnsi="Arial" w:cs="Arial"/>
          <w:i/>
          <w:iCs/>
          <w:color w:val="222222"/>
          <w:sz w:val="21"/>
          <w:szCs w:val="21"/>
        </w:rPr>
        <w:t>time away that they would not you would not have to take otherwise</w:t>
      </w:r>
      <w:r w:rsidRPr="00A2050D">
        <w:rPr>
          <w:rFonts w:ascii="Arial" w:eastAsia="Times New Roman" w:hAnsi="Arial" w:cs="Arial"/>
          <w:i/>
          <w:iCs/>
          <w:color w:val="222222"/>
          <w:sz w:val="21"/>
          <w:szCs w:val="21"/>
        </w:rPr>
        <w:t>. </w:t>
      </w:r>
      <w:proofErr w:type="gramEnd"/>
      <w:r w:rsidRPr="00A2050D">
        <w:rPr>
          <w:rFonts w:ascii="Arial" w:eastAsia="Times New Roman" w:hAnsi="Arial" w:cs="Arial"/>
          <w:i/>
          <w:iCs/>
          <w:color w:val="222222"/>
          <w:sz w:val="21"/>
          <w:szCs w:val="21"/>
        </w:rPr>
        <w:t xml:space="preserve"> Staff will continue to accrue sick and annual leave as they normally would.  If you take time off for non-pandemic reasons, you should request and draw down your leave as usual.</w:t>
      </w:r>
      <w:r w:rsidRPr="00A2050D">
        <w:rPr>
          <w:rFonts w:ascii="Arial" w:eastAsia="Times New Roman" w:hAnsi="Arial" w:cs="Arial"/>
          <w:color w:val="222222"/>
          <w:sz w:val="21"/>
          <w:szCs w:val="21"/>
        </w:rPr>
        <w:t> </w:t>
      </w:r>
    </w:p>
    <w:p w:rsidR="00402F31" w:rsidRPr="00A2050D" w:rsidRDefault="00402F31">
      <w:pPr>
        <w:rPr>
          <w:rFonts w:ascii="Arial" w:hAnsi="Arial" w:cs="Arial"/>
        </w:rPr>
      </w:pPr>
    </w:p>
    <w:p w:rsidR="00202EAD" w:rsidRPr="00A2050D" w:rsidRDefault="00D536AB">
      <w:pPr>
        <w:rPr>
          <w:rFonts w:ascii="Arial" w:hAnsi="Arial" w:cs="Arial"/>
        </w:rPr>
      </w:pPr>
      <w:r>
        <w:rPr>
          <w:rFonts w:ascii="Arial" w:hAnsi="Arial" w:cs="Arial"/>
        </w:rPr>
        <w:t>Links to Guidance that Support T</w:t>
      </w:r>
      <w:r w:rsidR="00202EAD" w:rsidRPr="00A2050D">
        <w:rPr>
          <w:rFonts w:ascii="Arial" w:hAnsi="Arial" w:cs="Arial"/>
        </w:rPr>
        <w:t>his:</w:t>
      </w:r>
    </w:p>
    <w:p w:rsidR="00202EAD" w:rsidRPr="00A2050D" w:rsidRDefault="00202EAD" w:rsidP="00202EAD">
      <w:pPr>
        <w:rPr>
          <w:rFonts w:ascii="Arial" w:hAnsi="Arial" w:cs="Arial"/>
          <w:color w:val="000000" w:themeColor="text1"/>
        </w:rPr>
      </w:pPr>
      <w:proofErr w:type="gramStart"/>
      <w:r w:rsidRPr="00A2050D">
        <w:rPr>
          <w:rFonts w:ascii="Arial" w:hAnsi="Arial" w:cs="Arial"/>
          <w:color w:val="000000" w:themeColor="text1"/>
        </w:rPr>
        <w:t>Here’s</w:t>
      </w:r>
      <w:proofErr w:type="gramEnd"/>
      <w:r w:rsidRPr="00A2050D">
        <w:rPr>
          <w:rFonts w:ascii="Arial" w:hAnsi="Arial" w:cs="Arial"/>
          <w:color w:val="000000" w:themeColor="text1"/>
        </w:rPr>
        <w:t xml:space="preserve"> the link to the Uniform Grant Guidance (UGG), 2 CFR 200 that covers VAWA and VOCA funding.   </w:t>
      </w:r>
    </w:p>
    <w:p w:rsidR="00202EAD" w:rsidRPr="00A2050D" w:rsidRDefault="00D536AB" w:rsidP="00202EAD">
      <w:pPr>
        <w:spacing w:after="150"/>
        <w:rPr>
          <w:rFonts w:ascii="Arial" w:hAnsi="Arial" w:cs="Arial"/>
          <w:color w:val="212121"/>
        </w:rPr>
      </w:pPr>
      <w:hyperlink r:id="rId4" w:history="1">
        <w:r w:rsidR="00202EAD" w:rsidRPr="00A2050D">
          <w:rPr>
            <w:rStyle w:val="Hyperlink"/>
            <w:rFonts w:ascii="Arial" w:hAnsi="Arial" w:cs="Arial"/>
          </w:rPr>
          <w:t>https://ecfr.io/Title-02/cfr200_main</w:t>
        </w:r>
      </w:hyperlink>
    </w:p>
    <w:p w:rsidR="00202EAD" w:rsidRPr="00A2050D" w:rsidRDefault="00202EAD" w:rsidP="00202EAD">
      <w:pPr>
        <w:spacing w:after="150"/>
        <w:rPr>
          <w:rFonts w:ascii="Arial" w:hAnsi="Arial" w:cs="Arial"/>
          <w:color w:val="000000" w:themeColor="text1"/>
        </w:rPr>
      </w:pPr>
      <w:r w:rsidRPr="00A2050D">
        <w:rPr>
          <w:rFonts w:ascii="Arial" w:hAnsi="Arial" w:cs="Arial"/>
          <w:color w:val="000000" w:themeColor="text1"/>
        </w:rPr>
        <w:t xml:space="preserve">FVPSA has duplicate UGG language but </w:t>
      </w:r>
      <w:proofErr w:type="gramStart"/>
      <w:r w:rsidRPr="00A2050D">
        <w:rPr>
          <w:rFonts w:ascii="Arial" w:hAnsi="Arial" w:cs="Arial"/>
          <w:color w:val="000000" w:themeColor="text1"/>
        </w:rPr>
        <w:t>it’s</w:t>
      </w:r>
      <w:proofErr w:type="gramEnd"/>
      <w:r w:rsidRPr="00A2050D">
        <w:rPr>
          <w:rFonts w:ascii="Arial" w:hAnsi="Arial" w:cs="Arial"/>
          <w:color w:val="000000" w:themeColor="text1"/>
        </w:rPr>
        <w:t xml:space="preserve"> cited in 45 CFR 75.</w:t>
      </w:r>
    </w:p>
    <w:p w:rsidR="00202EAD" w:rsidRPr="00A2050D" w:rsidRDefault="00D536AB" w:rsidP="00202EAD">
      <w:pPr>
        <w:spacing w:after="150"/>
        <w:rPr>
          <w:rFonts w:ascii="Arial" w:hAnsi="Arial" w:cs="Arial"/>
          <w:color w:val="212121"/>
        </w:rPr>
      </w:pPr>
      <w:hyperlink r:id="rId5" w:history="1">
        <w:r w:rsidR="00202EAD" w:rsidRPr="00A2050D">
          <w:rPr>
            <w:rStyle w:val="Hyperlink"/>
            <w:rFonts w:ascii="Arial" w:hAnsi="Arial" w:cs="Arial"/>
          </w:rPr>
          <w:t>https://ecfr.io/Title-45/cfr75_main</w:t>
        </w:r>
      </w:hyperlink>
    </w:p>
    <w:p w:rsidR="00202EAD" w:rsidRPr="00A2050D" w:rsidRDefault="00A2050D" w:rsidP="00202EAD">
      <w:pPr>
        <w:spacing w:after="150"/>
        <w:rPr>
          <w:rFonts w:ascii="Arial" w:hAnsi="Arial" w:cs="Arial"/>
          <w:color w:val="000000" w:themeColor="text1"/>
        </w:rPr>
      </w:pPr>
      <w:r w:rsidRPr="00A2050D">
        <w:rPr>
          <w:rFonts w:ascii="Arial" w:hAnsi="Arial" w:cs="Arial"/>
          <w:color w:val="000000" w:themeColor="text1"/>
        </w:rPr>
        <w:t>These</w:t>
      </w:r>
      <w:r w:rsidR="00202EAD" w:rsidRPr="00A2050D">
        <w:rPr>
          <w:rFonts w:ascii="Arial" w:hAnsi="Arial" w:cs="Arial"/>
          <w:color w:val="000000" w:themeColor="text1"/>
        </w:rPr>
        <w:t xml:space="preserve"> sections address leave </w:t>
      </w:r>
      <w:proofErr w:type="gramStart"/>
      <w:r w:rsidR="00202EAD" w:rsidRPr="00A2050D">
        <w:rPr>
          <w:rFonts w:ascii="Arial" w:hAnsi="Arial" w:cs="Arial"/>
          <w:color w:val="000000" w:themeColor="text1"/>
        </w:rPr>
        <w:t>benefits which</w:t>
      </w:r>
      <w:proofErr w:type="gramEnd"/>
      <w:r w:rsidR="00202EAD" w:rsidRPr="00A2050D">
        <w:rPr>
          <w:rFonts w:ascii="Arial" w:hAnsi="Arial" w:cs="Arial"/>
          <w:color w:val="000000" w:themeColor="text1"/>
        </w:rPr>
        <w:t xml:space="preserve"> are covered under Compensatio</w:t>
      </w:r>
      <w:r w:rsidR="00D536AB">
        <w:rPr>
          <w:rFonts w:ascii="Arial" w:hAnsi="Arial" w:cs="Arial"/>
          <w:color w:val="000000" w:themeColor="text1"/>
        </w:rPr>
        <w:t>n – Fringe Benefits as follows </w:t>
      </w:r>
      <w:r w:rsidR="00202EAD" w:rsidRPr="00A2050D">
        <w:rPr>
          <w:rFonts w:ascii="Arial" w:hAnsi="Arial" w:cs="Arial"/>
          <w:color w:val="000000" w:themeColor="text1"/>
        </w:rPr>
        <w:t>(as noted above, both sections have the same language):</w:t>
      </w:r>
    </w:p>
    <w:p w:rsidR="00202EAD" w:rsidRPr="00A2050D" w:rsidRDefault="00202EAD" w:rsidP="00202EAD">
      <w:pPr>
        <w:pStyle w:val="Heading2"/>
        <w:spacing w:after="150" w:afterAutospacing="0"/>
        <w:rPr>
          <w:rFonts w:ascii="Arial" w:eastAsia="Times New Roman" w:hAnsi="Arial" w:cs="Arial"/>
          <w:color w:val="212121"/>
        </w:rPr>
      </w:pPr>
      <w:r w:rsidRPr="00A2050D">
        <w:rPr>
          <w:rFonts w:ascii="Arial" w:eastAsia="Times New Roman" w:hAnsi="Arial" w:cs="Arial"/>
          <w:b w:val="0"/>
          <w:bCs w:val="0"/>
          <w:color w:val="000000" w:themeColor="text1"/>
          <w:sz w:val="22"/>
          <w:szCs w:val="22"/>
        </w:rPr>
        <w:t>VAWA/VOCA</w:t>
      </w:r>
      <w:r w:rsidRPr="00A2050D">
        <w:rPr>
          <w:rFonts w:ascii="Arial" w:eastAsia="Times New Roman" w:hAnsi="Arial" w:cs="Arial"/>
          <w:color w:val="000000" w:themeColor="text1"/>
          <w:sz w:val="22"/>
          <w:szCs w:val="22"/>
        </w:rPr>
        <w:t xml:space="preserve">: </w:t>
      </w:r>
      <w:r w:rsidRPr="00A2050D">
        <w:rPr>
          <w:rFonts w:ascii="Arial" w:eastAsia="Times New Roman" w:hAnsi="Arial" w:cs="Arial"/>
          <w:b w:val="0"/>
          <w:bCs w:val="0"/>
          <w:color w:val="000000" w:themeColor="text1"/>
          <w:sz w:val="22"/>
          <w:szCs w:val="22"/>
        </w:rPr>
        <w:t>§200.431  </w:t>
      </w:r>
      <w:r w:rsidR="00A2050D" w:rsidRPr="00A2050D">
        <w:rPr>
          <w:rFonts w:ascii="Arial" w:eastAsia="Times New Roman" w:hAnsi="Arial" w:cs="Arial"/>
          <w:b w:val="0"/>
          <w:bCs w:val="0"/>
          <w:color w:val="000000" w:themeColor="text1"/>
          <w:sz w:val="22"/>
          <w:szCs w:val="22"/>
        </w:rPr>
        <w:t> Compensation—fringe benefits: </w:t>
      </w:r>
      <w:hyperlink r:id="rId6" w:history="1">
        <w:r w:rsidRPr="00A2050D">
          <w:rPr>
            <w:rStyle w:val="Hyperlink"/>
            <w:rFonts w:ascii="Arial" w:eastAsia="Times New Roman" w:hAnsi="Arial" w:cs="Arial"/>
            <w:b w:val="0"/>
            <w:bCs w:val="0"/>
            <w:sz w:val="22"/>
            <w:szCs w:val="22"/>
          </w:rPr>
          <w:t>https://ecfr.io/Title-02/se2.1.200_1431</w:t>
        </w:r>
      </w:hyperlink>
    </w:p>
    <w:p w:rsidR="00202EAD" w:rsidRPr="00A2050D" w:rsidRDefault="00202EAD" w:rsidP="00A2050D">
      <w:pPr>
        <w:spacing w:after="150"/>
        <w:rPr>
          <w:rFonts w:ascii="Arial" w:hAnsi="Arial" w:cs="Arial"/>
          <w:color w:val="212121"/>
        </w:rPr>
      </w:pPr>
      <w:r w:rsidRPr="00A2050D">
        <w:rPr>
          <w:rFonts w:ascii="Arial" w:hAnsi="Arial" w:cs="Arial"/>
          <w:color w:val="000000" w:themeColor="text1"/>
        </w:rPr>
        <w:t>FVPSA:  §75.431   Compensation—fringe benefits</w:t>
      </w:r>
      <w:r w:rsidRPr="00A2050D">
        <w:rPr>
          <w:rFonts w:ascii="Arial" w:hAnsi="Arial" w:cs="Arial"/>
          <w:b/>
          <w:bCs/>
          <w:color w:val="000000" w:themeColor="text1"/>
        </w:rPr>
        <w:t>: </w:t>
      </w:r>
      <w:r w:rsidRPr="00A2050D">
        <w:rPr>
          <w:rFonts w:ascii="Arial" w:hAnsi="Arial" w:cs="Arial"/>
          <w:b/>
          <w:bCs/>
          <w:color w:val="1F4E79"/>
        </w:rPr>
        <w:t xml:space="preserve"> </w:t>
      </w:r>
      <w:hyperlink r:id="rId7" w:history="1">
        <w:r w:rsidRPr="00A2050D">
          <w:rPr>
            <w:rStyle w:val="Hyperlink"/>
            <w:rFonts w:ascii="Arial" w:hAnsi="Arial" w:cs="Arial"/>
          </w:rPr>
          <w:t>https://ecfr.io/Title-45/se45.1.75_1431</w:t>
        </w:r>
      </w:hyperlink>
    </w:p>
    <w:sectPr w:rsidR="00202EAD" w:rsidRPr="00A20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3A"/>
    <w:rsid w:val="00202EAD"/>
    <w:rsid w:val="00360D96"/>
    <w:rsid w:val="00402F31"/>
    <w:rsid w:val="00445A4B"/>
    <w:rsid w:val="005E0854"/>
    <w:rsid w:val="00885792"/>
    <w:rsid w:val="00913957"/>
    <w:rsid w:val="00A2050D"/>
    <w:rsid w:val="00BC5EF1"/>
    <w:rsid w:val="00C40E3A"/>
    <w:rsid w:val="00CE2EAA"/>
    <w:rsid w:val="00D5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62A"/>
  <w15:chartTrackingRefBased/>
  <w15:docId w15:val="{02ABC61B-23C7-401B-A69C-DDC40E2F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202EAD"/>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40E3A"/>
    <w:pPr>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202EAD"/>
    <w:rPr>
      <w:rFonts w:ascii="Times New Roman" w:hAnsi="Times New Roman" w:cs="Times New Roman"/>
      <w:b/>
      <w:bCs/>
      <w:sz w:val="36"/>
      <w:szCs w:val="36"/>
    </w:rPr>
  </w:style>
  <w:style w:type="character" w:styleId="Hyperlink">
    <w:name w:val="Hyperlink"/>
    <w:basedOn w:val="DefaultParagraphFont"/>
    <w:uiPriority w:val="99"/>
    <w:semiHidden/>
    <w:unhideWhenUsed/>
    <w:rsid w:val="00202E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4440">
      <w:bodyDiv w:val="1"/>
      <w:marLeft w:val="0"/>
      <w:marRight w:val="0"/>
      <w:marTop w:val="0"/>
      <w:marBottom w:val="0"/>
      <w:divBdr>
        <w:top w:val="none" w:sz="0" w:space="0" w:color="auto"/>
        <w:left w:val="none" w:sz="0" w:space="0" w:color="auto"/>
        <w:bottom w:val="none" w:sz="0" w:space="0" w:color="auto"/>
        <w:right w:val="none" w:sz="0" w:space="0" w:color="auto"/>
      </w:divBdr>
    </w:div>
    <w:div w:id="944117303">
      <w:bodyDiv w:val="1"/>
      <w:marLeft w:val="0"/>
      <w:marRight w:val="0"/>
      <w:marTop w:val="0"/>
      <w:marBottom w:val="0"/>
      <w:divBdr>
        <w:top w:val="none" w:sz="0" w:space="0" w:color="auto"/>
        <w:left w:val="none" w:sz="0" w:space="0" w:color="auto"/>
        <w:bottom w:val="none" w:sz="0" w:space="0" w:color="auto"/>
        <w:right w:val="none" w:sz="0" w:space="0" w:color="auto"/>
      </w:divBdr>
    </w:div>
    <w:div w:id="11959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fr.io/Title-45/se45.1.75_1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fr.io/Title-02/se2.1.200_1431" TargetMode="External"/><Relationship Id="rId5" Type="http://schemas.openxmlformats.org/officeDocument/2006/relationships/hyperlink" Target="https://ecfr.io/Title-45/cfr75_main" TargetMode="External"/><Relationship Id="rId4" Type="http://schemas.openxmlformats.org/officeDocument/2006/relationships/hyperlink" Target="https://ecfr.io/Title-02/cfr200_m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Guajardo</dc:creator>
  <cp:keywords/>
  <dc:description/>
  <cp:lastModifiedBy>jessica@partnership.local</cp:lastModifiedBy>
  <cp:revision>6</cp:revision>
  <dcterms:created xsi:type="dcterms:W3CDTF">2020-03-19T22:51:00Z</dcterms:created>
  <dcterms:modified xsi:type="dcterms:W3CDTF">2020-03-20T01:09:00Z</dcterms:modified>
</cp:coreProperties>
</file>